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15" w:rsidRPr="00BC46AB" w:rsidRDefault="00CD5015" w:rsidP="00CD5015">
      <w:pPr>
        <w:spacing w:after="0"/>
        <w:rPr>
          <w:sz w:val="16"/>
          <w:szCs w:val="16"/>
        </w:rPr>
      </w:pPr>
    </w:p>
    <w:p w:rsidR="005E2275" w:rsidRDefault="00A205BA" w:rsidP="00BC46AB">
      <w:pPr>
        <w:spacing w:after="0" w:line="252" w:lineRule="auto"/>
      </w:pPr>
      <w:r>
        <w:t xml:space="preserve">This </w:t>
      </w:r>
      <w:r w:rsidR="00FA023D">
        <w:t xml:space="preserve">essay </w:t>
      </w:r>
      <w:r>
        <w:t>assignment enc</w:t>
      </w:r>
      <w:r w:rsidR="00DC5D3E">
        <w:t xml:space="preserve">ourages students to explore the interactive academic version of </w:t>
      </w:r>
      <w:r>
        <w:t xml:space="preserve">Missouri’s </w:t>
      </w:r>
      <w:r w:rsidR="00DC5D3E">
        <w:t>Foundational Public Health Services model to gain a more thorough understanding of the foundational capabilities and public health areas of expertise that must be available in every Missouri community in order for the public health system to function.</w:t>
      </w:r>
      <w:r>
        <w:t xml:space="preserve"> Located </w:t>
      </w:r>
      <w:r w:rsidRPr="0014616B">
        <w:t xml:space="preserve">at </w:t>
      </w:r>
      <w:hyperlink r:id="rId8" w:history="1">
        <w:r w:rsidRPr="0014616B">
          <w:rPr>
            <w:rStyle w:val="Hyperlink"/>
          </w:rPr>
          <w:t>www.HealthierMO.org</w:t>
        </w:r>
      </w:hyperlink>
      <w:r>
        <w:t xml:space="preserve">, the </w:t>
      </w:r>
      <w:r w:rsidR="00DC5D3E">
        <w:t>interactive model</w:t>
      </w:r>
      <w:r>
        <w:t xml:space="preserve"> </w:t>
      </w:r>
      <w:r w:rsidR="00DC5D3E">
        <w:t>provides definitions, case studies, data, and resources that support student engagement and understanding</w:t>
      </w:r>
      <w:r>
        <w:t xml:space="preserve">. </w:t>
      </w:r>
      <w:r w:rsidR="00B623D2">
        <w:t>(Select “FPHS Model” from the top menu on the page.)</w:t>
      </w:r>
    </w:p>
    <w:p w:rsidR="00A205BA" w:rsidRDefault="00A205BA" w:rsidP="00BC46AB">
      <w:pPr>
        <w:spacing w:after="0" w:line="252" w:lineRule="auto"/>
        <w:rPr>
          <w:sz w:val="16"/>
          <w:szCs w:val="16"/>
        </w:rPr>
      </w:pPr>
    </w:p>
    <w:p w:rsidR="001F45C7" w:rsidRPr="00BC46AB" w:rsidRDefault="001F45C7" w:rsidP="00BC46AB">
      <w:pPr>
        <w:spacing w:after="0" w:line="252" w:lineRule="auto"/>
        <w:rPr>
          <w:sz w:val="16"/>
          <w:szCs w:val="16"/>
        </w:rPr>
      </w:pPr>
    </w:p>
    <w:tbl>
      <w:tblPr>
        <w:tblStyle w:val="TableGrid"/>
        <w:tblW w:w="0" w:type="auto"/>
        <w:tblLayout w:type="fixed"/>
        <w:tblLook w:val="04A0" w:firstRow="1" w:lastRow="0" w:firstColumn="1" w:lastColumn="0" w:noHBand="0" w:noVBand="1"/>
      </w:tblPr>
      <w:tblGrid>
        <w:gridCol w:w="5508"/>
        <w:gridCol w:w="3420"/>
        <w:gridCol w:w="1296"/>
      </w:tblGrid>
      <w:tr w:rsidR="006F635E" w:rsidTr="00B623D2">
        <w:trPr>
          <w:tblHeader/>
        </w:trPr>
        <w:tc>
          <w:tcPr>
            <w:tcW w:w="5508" w:type="dxa"/>
            <w:shd w:val="clear" w:color="auto" w:fill="DAEEF3" w:themeFill="accent5" w:themeFillTint="33"/>
          </w:tcPr>
          <w:p w:rsidR="006F635E" w:rsidRPr="009C515F" w:rsidRDefault="00B623D2" w:rsidP="00B623D2">
            <w:pPr>
              <w:jc w:val="center"/>
              <w:rPr>
                <w:b/>
              </w:rPr>
            </w:pPr>
            <w:r>
              <w:rPr>
                <w:b/>
              </w:rPr>
              <w:t>Assignment</w:t>
            </w:r>
          </w:p>
        </w:tc>
        <w:tc>
          <w:tcPr>
            <w:tcW w:w="3420" w:type="dxa"/>
            <w:shd w:val="clear" w:color="auto" w:fill="DAEEF3" w:themeFill="accent5" w:themeFillTint="33"/>
          </w:tcPr>
          <w:p w:rsidR="006F635E" w:rsidRDefault="00B623D2" w:rsidP="00B623D2">
            <w:pPr>
              <w:jc w:val="center"/>
              <w:rPr>
                <w:b/>
              </w:rPr>
            </w:pPr>
            <w:r>
              <w:rPr>
                <w:b/>
              </w:rPr>
              <w:t>Points Deduction</w:t>
            </w:r>
          </w:p>
          <w:p w:rsidR="00B623D2" w:rsidRPr="009C515F" w:rsidRDefault="00B623D2" w:rsidP="00B623D2">
            <w:pPr>
              <w:jc w:val="center"/>
              <w:rPr>
                <w:b/>
              </w:rPr>
            </w:pPr>
            <w:r>
              <w:rPr>
                <w:b/>
              </w:rPr>
              <w:t>Clarification Comments</w:t>
            </w:r>
          </w:p>
        </w:tc>
        <w:tc>
          <w:tcPr>
            <w:tcW w:w="1296" w:type="dxa"/>
            <w:shd w:val="clear" w:color="auto" w:fill="DAEEF3" w:themeFill="accent5" w:themeFillTint="33"/>
          </w:tcPr>
          <w:p w:rsidR="006F635E" w:rsidRPr="009C515F" w:rsidRDefault="00B623D2" w:rsidP="00B623D2">
            <w:pPr>
              <w:jc w:val="center"/>
              <w:rPr>
                <w:b/>
              </w:rPr>
            </w:pPr>
            <w:r>
              <w:rPr>
                <w:b/>
              </w:rPr>
              <w:t>Points</w:t>
            </w:r>
          </w:p>
        </w:tc>
      </w:tr>
      <w:tr w:rsidR="00B623D2" w:rsidRPr="00A8616F" w:rsidTr="00B623D2">
        <w:tc>
          <w:tcPr>
            <w:tcW w:w="5508" w:type="dxa"/>
          </w:tcPr>
          <w:p w:rsidR="00B623D2" w:rsidRPr="00B623D2" w:rsidRDefault="008740B3" w:rsidP="00B623D2">
            <w:pPr>
              <w:pStyle w:val="ListParagraph"/>
              <w:numPr>
                <w:ilvl w:val="0"/>
                <w:numId w:val="9"/>
              </w:numPr>
              <w:spacing w:before="40" w:after="40" w:line="259" w:lineRule="auto"/>
              <w:ind w:left="360"/>
              <w:contextualSpacing w:val="0"/>
              <w:rPr>
                <w:rFonts w:cstheme="minorHAnsi"/>
              </w:rPr>
            </w:pPr>
            <w:r>
              <w:rPr>
                <w:rFonts w:cstheme="minorHAnsi"/>
              </w:rPr>
              <w:t>D</w:t>
            </w:r>
            <w:r w:rsidR="00B623D2" w:rsidRPr="00B623D2">
              <w:rPr>
                <w:rFonts w:cstheme="minorHAnsi"/>
              </w:rPr>
              <w:t>escribe the interconnectivity of the public health capability Emergency Preparedness and Response and the area of expertise Communicable Disease Control.</w:t>
            </w:r>
            <w:r>
              <w:rPr>
                <w:rFonts w:cstheme="minorHAnsi"/>
              </w:rPr>
              <w:t xml:space="preserve"> What is a current example of this interconnectivity?</w:t>
            </w:r>
          </w:p>
          <w:p w:rsidR="00B623D2" w:rsidRPr="00B623D2" w:rsidRDefault="00B623D2" w:rsidP="00B623D2">
            <w:pPr>
              <w:spacing w:before="40" w:after="40" w:line="259" w:lineRule="auto"/>
              <w:ind w:left="360"/>
              <w:rPr>
                <w:rFonts w:cstheme="minorHAnsi"/>
                <w:u w:val="single"/>
              </w:rPr>
            </w:pPr>
            <w:r w:rsidRPr="00B623D2">
              <w:rPr>
                <w:rFonts w:cstheme="minorHAnsi"/>
                <w:u w:val="single"/>
              </w:rPr>
              <w:t>Key Concepts:</w:t>
            </w:r>
          </w:p>
          <w:p w:rsidR="008740B3" w:rsidRDefault="00B623D2" w:rsidP="008740B3">
            <w:pPr>
              <w:pStyle w:val="ListParagraph"/>
              <w:numPr>
                <w:ilvl w:val="0"/>
                <w:numId w:val="6"/>
              </w:numPr>
              <w:spacing w:before="40" w:after="40" w:line="259" w:lineRule="auto"/>
              <w:ind w:left="1080"/>
              <w:contextualSpacing w:val="0"/>
              <w:rPr>
                <w:rFonts w:cstheme="minorHAnsi"/>
              </w:rPr>
            </w:pPr>
            <w:r w:rsidRPr="008740B3">
              <w:rPr>
                <w:rFonts w:cstheme="minorHAnsi"/>
              </w:rPr>
              <w:t>Emergency response demands an increased capacity in communicable disease control capacity.</w:t>
            </w:r>
          </w:p>
          <w:p w:rsidR="008740B3" w:rsidRDefault="00B623D2" w:rsidP="008740B3">
            <w:pPr>
              <w:pStyle w:val="ListParagraph"/>
              <w:numPr>
                <w:ilvl w:val="0"/>
                <w:numId w:val="6"/>
              </w:numPr>
              <w:spacing w:before="40" w:after="40" w:line="259" w:lineRule="auto"/>
              <w:ind w:left="1080"/>
              <w:contextualSpacing w:val="0"/>
              <w:rPr>
                <w:rFonts w:cstheme="minorHAnsi"/>
              </w:rPr>
            </w:pPr>
            <w:r w:rsidRPr="008740B3">
              <w:rPr>
                <w:rFonts w:cstheme="minorHAnsi"/>
              </w:rPr>
              <w:t>Emergency planning activities should include preparing for continuity of operations in the face of limited resources, increased demand for service, and a high stress environment.</w:t>
            </w:r>
          </w:p>
          <w:p w:rsidR="00B623D2" w:rsidRPr="00B623D2" w:rsidRDefault="00B623D2" w:rsidP="008740B3">
            <w:pPr>
              <w:pStyle w:val="ListParagraph"/>
              <w:numPr>
                <w:ilvl w:val="0"/>
                <w:numId w:val="6"/>
              </w:numPr>
              <w:spacing w:before="40" w:after="40" w:line="259" w:lineRule="auto"/>
              <w:ind w:left="1080"/>
              <w:contextualSpacing w:val="0"/>
              <w:rPr>
                <w:rFonts w:cstheme="minorHAnsi"/>
              </w:rPr>
            </w:pPr>
            <w:r w:rsidRPr="00A8616F">
              <w:rPr>
                <w:rFonts w:cstheme="minorHAnsi"/>
              </w:rPr>
              <w:t>Like communicable diseases, public health emergencies are not limited by jurisdictional lines and require collaboration.</w:t>
            </w:r>
          </w:p>
        </w:tc>
        <w:tc>
          <w:tcPr>
            <w:tcW w:w="3420" w:type="dxa"/>
          </w:tcPr>
          <w:p w:rsidR="00B623D2" w:rsidRPr="00B623D2" w:rsidRDefault="00B623D2" w:rsidP="00B623D2">
            <w:pPr>
              <w:spacing w:before="40" w:after="40" w:line="259" w:lineRule="auto"/>
              <w:ind w:left="162"/>
              <w:rPr>
                <w:rFonts w:cstheme="minorHAnsi"/>
              </w:rPr>
            </w:pPr>
          </w:p>
        </w:tc>
        <w:tc>
          <w:tcPr>
            <w:tcW w:w="1296" w:type="dxa"/>
          </w:tcPr>
          <w:p w:rsidR="00B623D2" w:rsidRPr="00A8616F" w:rsidRDefault="00B623D2" w:rsidP="00B623D2">
            <w:pPr>
              <w:spacing w:before="40" w:after="40" w:line="259" w:lineRule="auto"/>
              <w:rPr>
                <w:rFonts w:cstheme="minorHAnsi"/>
              </w:rPr>
            </w:pPr>
          </w:p>
        </w:tc>
      </w:tr>
      <w:tr w:rsidR="00B623D2" w:rsidRPr="00A8616F" w:rsidTr="00B623D2">
        <w:tc>
          <w:tcPr>
            <w:tcW w:w="5508" w:type="dxa"/>
          </w:tcPr>
          <w:p w:rsidR="00B623D2" w:rsidRPr="00B623D2" w:rsidRDefault="008740B3" w:rsidP="00B623D2">
            <w:pPr>
              <w:pStyle w:val="ListParagraph"/>
              <w:numPr>
                <w:ilvl w:val="0"/>
                <w:numId w:val="9"/>
              </w:numPr>
              <w:spacing w:before="40" w:after="40" w:line="259" w:lineRule="auto"/>
              <w:ind w:left="360"/>
              <w:contextualSpacing w:val="0"/>
              <w:rPr>
                <w:rFonts w:cstheme="minorHAnsi"/>
              </w:rPr>
            </w:pPr>
            <w:r>
              <w:rPr>
                <w:rFonts w:cstheme="minorHAnsi"/>
              </w:rPr>
              <w:t xml:space="preserve">Explain why </w:t>
            </w:r>
            <w:r w:rsidR="00B623D2" w:rsidRPr="00B623D2">
              <w:rPr>
                <w:rFonts w:cstheme="minorHAnsi"/>
              </w:rPr>
              <w:t>health equity and social determinants of health should act as a lens through which all other components of the model are assured.</w:t>
            </w:r>
          </w:p>
          <w:p w:rsidR="00B623D2" w:rsidRPr="00B623D2" w:rsidRDefault="00B623D2" w:rsidP="00B623D2">
            <w:pPr>
              <w:spacing w:before="40" w:after="40" w:line="259" w:lineRule="auto"/>
              <w:ind w:left="360"/>
              <w:rPr>
                <w:rFonts w:cstheme="minorHAnsi"/>
                <w:u w:val="single"/>
              </w:rPr>
            </w:pPr>
            <w:r w:rsidRPr="00B623D2">
              <w:rPr>
                <w:rFonts w:cstheme="minorHAnsi"/>
                <w:u w:val="single"/>
              </w:rPr>
              <w:t>Key Concepts:</w:t>
            </w:r>
          </w:p>
          <w:p w:rsidR="00B623D2" w:rsidRPr="00A8616F" w:rsidRDefault="00B623D2" w:rsidP="00B623D2">
            <w:pPr>
              <w:pStyle w:val="ListParagraph"/>
              <w:numPr>
                <w:ilvl w:val="0"/>
                <w:numId w:val="10"/>
              </w:numPr>
              <w:spacing w:before="40" w:after="40" w:line="259" w:lineRule="auto"/>
              <w:ind w:left="1080"/>
              <w:contextualSpacing w:val="0"/>
              <w:rPr>
                <w:rFonts w:cstheme="minorHAnsi"/>
              </w:rPr>
            </w:pPr>
            <w:r w:rsidRPr="00A8616F">
              <w:rPr>
                <w:rFonts w:cstheme="minorHAnsi"/>
              </w:rPr>
              <w:t>Health equity and social determinants of health should be integrated into all public health capabilities and areas of expertise.</w:t>
            </w:r>
          </w:p>
          <w:p w:rsidR="00B623D2" w:rsidRPr="00A8616F" w:rsidRDefault="00B623D2" w:rsidP="00B623D2">
            <w:pPr>
              <w:pStyle w:val="ListParagraph"/>
              <w:numPr>
                <w:ilvl w:val="0"/>
                <w:numId w:val="10"/>
              </w:numPr>
              <w:spacing w:before="40" w:after="40" w:line="259" w:lineRule="auto"/>
              <w:ind w:left="1080"/>
              <w:contextualSpacing w:val="0"/>
              <w:rPr>
                <w:rFonts w:cstheme="minorHAnsi"/>
              </w:rPr>
            </w:pPr>
            <w:r w:rsidRPr="00A8616F">
              <w:rPr>
                <w:rFonts w:cstheme="minorHAnsi"/>
              </w:rPr>
              <w:t>Public health agencies must have the ability to work with their partners to address health inequities and social determinants of health in order to create programs and policies that create an environment that supports optimal health for everyone.</w:t>
            </w:r>
          </w:p>
          <w:p w:rsidR="00B623D2" w:rsidRPr="00B623D2" w:rsidRDefault="00B623D2" w:rsidP="00B623D2">
            <w:pPr>
              <w:pStyle w:val="ListParagraph"/>
              <w:numPr>
                <w:ilvl w:val="0"/>
                <w:numId w:val="10"/>
              </w:numPr>
              <w:spacing w:before="40" w:after="40" w:line="259" w:lineRule="auto"/>
              <w:ind w:left="1080"/>
              <w:contextualSpacing w:val="0"/>
              <w:rPr>
                <w:rFonts w:cstheme="minorHAnsi"/>
              </w:rPr>
            </w:pPr>
            <w:r w:rsidRPr="00B623D2">
              <w:rPr>
                <w:rFonts w:cstheme="minorHAnsi"/>
              </w:rPr>
              <w:t>Public health agencies should make health equity a strategic priority, use data to identify health inequities, and apply evidence-based strategies and interventions to assure health equity for everyone.</w:t>
            </w:r>
          </w:p>
        </w:tc>
        <w:tc>
          <w:tcPr>
            <w:tcW w:w="3420" w:type="dxa"/>
          </w:tcPr>
          <w:p w:rsidR="00B623D2" w:rsidRPr="00B623D2" w:rsidRDefault="00B623D2" w:rsidP="00B623D2">
            <w:pPr>
              <w:spacing w:before="40" w:after="40" w:line="259" w:lineRule="auto"/>
              <w:ind w:left="162"/>
              <w:rPr>
                <w:rFonts w:cstheme="minorHAnsi"/>
              </w:rPr>
            </w:pPr>
          </w:p>
        </w:tc>
        <w:tc>
          <w:tcPr>
            <w:tcW w:w="1296" w:type="dxa"/>
          </w:tcPr>
          <w:p w:rsidR="00B623D2" w:rsidRPr="00A8616F" w:rsidRDefault="00B623D2" w:rsidP="00B623D2">
            <w:pPr>
              <w:spacing w:before="40" w:after="40" w:line="259" w:lineRule="auto"/>
              <w:rPr>
                <w:rFonts w:cstheme="minorHAnsi"/>
              </w:rPr>
            </w:pPr>
          </w:p>
        </w:tc>
      </w:tr>
      <w:tr w:rsidR="00B623D2" w:rsidRPr="00A8616F" w:rsidTr="00B623D2">
        <w:tc>
          <w:tcPr>
            <w:tcW w:w="5508" w:type="dxa"/>
          </w:tcPr>
          <w:p w:rsidR="00B623D2" w:rsidRPr="00B623D2" w:rsidRDefault="00B623D2" w:rsidP="00962408">
            <w:pPr>
              <w:pStyle w:val="ListParagraph"/>
              <w:numPr>
                <w:ilvl w:val="0"/>
                <w:numId w:val="9"/>
              </w:numPr>
              <w:spacing w:before="40" w:after="40" w:line="259" w:lineRule="auto"/>
              <w:ind w:left="360"/>
              <w:rPr>
                <w:rFonts w:cstheme="minorHAnsi"/>
              </w:rPr>
            </w:pPr>
            <w:r w:rsidRPr="00B623D2">
              <w:rPr>
                <w:rFonts w:cstheme="minorHAnsi"/>
              </w:rPr>
              <w:lastRenderedPageBreak/>
              <w:t>The 2020 Infrastructure and Capacity Assessment survey found that local public health agencies with higher capacity in the foundational capabilities also had high</w:t>
            </w:r>
            <w:bookmarkStart w:id="0" w:name="_GoBack"/>
            <w:bookmarkEnd w:id="0"/>
            <w:r w:rsidRPr="00B623D2">
              <w:rPr>
                <w:rFonts w:cstheme="minorHAnsi"/>
              </w:rPr>
              <w:t>er capacity in the areas of expertise</w:t>
            </w:r>
            <w:r w:rsidR="008740B3">
              <w:rPr>
                <w:rFonts w:cstheme="minorHAnsi"/>
              </w:rPr>
              <w:t xml:space="preserve"> defined in the FPHS model</w:t>
            </w:r>
            <w:r w:rsidRPr="00B623D2">
              <w:rPr>
                <w:rFonts w:cstheme="minorHAnsi"/>
              </w:rPr>
              <w:t xml:space="preserve">. Explain </w:t>
            </w:r>
            <w:r w:rsidR="008740B3">
              <w:rPr>
                <w:rFonts w:cstheme="minorHAnsi"/>
              </w:rPr>
              <w:t>why,</w:t>
            </w:r>
            <w:r w:rsidRPr="00B623D2">
              <w:rPr>
                <w:rFonts w:cstheme="minorHAnsi"/>
              </w:rPr>
              <w:t xml:space="preserve"> based on your understanding of the</w:t>
            </w:r>
            <w:r w:rsidR="008740B3">
              <w:rPr>
                <w:rFonts w:cstheme="minorHAnsi"/>
              </w:rPr>
              <w:t xml:space="preserve"> interconnectivity of the</w:t>
            </w:r>
            <w:r w:rsidRPr="00B623D2">
              <w:rPr>
                <w:rFonts w:cstheme="minorHAnsi"/>
              </w:rPr>
              <w:t xml:space="preserve"> model</w:t>
            </w:r>
            <w:r w:rsidR="008740B3">
              <w:rPr>
                <w:rFonts w:cstheme="minorHAnsi"/>
              </w:rPr>
              <w:t xml:space="preserve">’s </w:t>
            </w:r>
            <w:r w:rsidRPr="00B623D2">
              <w:rPr>
                <w:rFonts w:cstheme="minorHAnsi"/>
              </w:rPr>
              <w:t>components.</w:t>
            </w:r>
          </w:p>
          <w:p w:rsidR="00B623D2" w:rsidRPr="00B623D2" w:rsidRDefault="00B623D2" w:rsidP="00962408">
            <w:pPr>
              <w:spacing w:before="40" w:after="40" w:line="259" w:lineRule="auto"/>
              <w:ind w:left="360"/>
              <w:rPr>
                <w:rFonts w:cstheme="minorHAnsi"/>
                <w:u w:val="single"/>
              </w:rPr>
            </w:pPr>
            <w:r w:rsidRPr="00B623D2">
              <w:rPr>
                <w:rFonts w:cstheme="minorHAnsi"/>
                <w:u w:val="single"/>
              </w:rPr>
              <w:t xml:space="preserve">Key Concepts: </w:t>
            </w:r>
          </w:p>
          <w:p w:rsidR="00B623D2" w:rsidRPr="00A8616F" w:rsidRDefault="00B623D2" w:rsidP="00B623D2">
            <w:pPr>
              <w:pStyle w:val="ListParagraph"/>
              <w:numPr>
                <w:ilvl w:val="0"/>
                <w:numId w:val="8"/>
              </w:numPr>
              <w:spacing w:before="40" w:after="40" w:line="259" w:lineRule="auto"/>
              <w:ind w:left="1080"/>
              <w:contextualSpacing w:val="0"/>
              <w:rPr>
                <w:rFonts w:cstheme="minorHAnsi"/>
              </w:rPr>
            </w:pPr>
            <w:r w:rsidRPr="00A8616F">
              <w:rPr>
                <w:rFonts w:cstheme="minorHAnsi"/>
              </w:rPr>
              <w:t>The cross-cutting skills identified by the models’ capabilities are required to assure the delivery of foundational public health services identified in the areas of expertise.</w:t>
            </w:r>
          </w:p>
          <w:p w:rsidR="00B623D2" w:rsidRDefault="00B623D2" w:rsidP="00B623D2">
            <w:pPr>
              <w:pStyle w:val="ListParagraph"/>
              <w:numPr>
                <w:ilvl w:val="0"/>
                <w:numId w:val="8"/>
              </w:numPr>
              <w:spacing w:before="40" w:after="40" w:line="259" w:lineRule="auto"/>
              <w:ind w:left="1080"/>
              <w:contextualSpacing w:val="0"/>
              <w:rPr>
                <w:rFonts w:cstheme="minorHAnsi"/>
              </w:rPr>
            </w:pPr>
            <w:r w:rsidRPr="00A8616F">
              <w:rPr>
                <w:rFonts w:cstheme="minorHAnsi"/>
              </w:rPr>
              <w:t>Each area of expertise relies on capacity in all seven of the capabilities described in the FPHS model.</w:t>
            </w:r>
          </w:p>
          <w:p w:rsidR="00B623D2" w:rsidRPr="00B623D2" w:rsidRDefault="00B623D2" w:rsidP="00742B8E">
            <w:pPr>
              <w:pStyle w:val="ListParagraph"/>
              <w:numPr>
                <w:ilvl w:val="0"/>
                <w:numId w:val="8"/>
              </w:numPr>
              <w:spacing w:before="40" w:after="40" w:line="259" w:lineRule="auto"/>
              <w:ind w:left="1080"/>
              <w:contextualSpacing w:val="0"/>
              <w:rPr>
                <w:rFonts w:cstheme="minorHAnsi"/>
              </w:rPr>
            </w:pPr>
            <w:r w:rsidRPr="00A8616F">
              <w:rPr>
                <w:rFonts w:cstheme="minorHAnsi"/>
              </w:rPr>
              <w:t xml:space="preserve">The capacity of areas of expertise is typically dependent on </w:t>
            </w:r>
            <w:proofErr w:type="gramStart"/>
            <w:r w:rsidRPr="00A8616F">
              <w:rPr>
                <w:rFonts w:cstheme="minorHAnsi"/>
              </w:rPr>
              <w:t xml:space="preserve">staff </w:t>
            </w:r>
            <w:r w:rsidR="00527285">
              <w:rPr>
                <w:rFonts w:cstheme="minorHAnsi"/>
              </w:rPr>
              <w:t>that</w:t>
            </w:r>
            <w:r w:rsidRPr="00A8616F">
              <w:rPr>
                <w:rFonts w:cstheme="minorHAnsi"/>
              </w:rPr>
              <w:t xml:space="preserve"> specialize</w:t>
            </w:r>
            <w:proofErr w:type="gramEnd"/>
            <w:r w:rsidRPr="00A8616F">
              <w:rPr>
                <w:rFonts w:cstheme="minorHAnsi"/>
              </w:rPr>
              <w:t xml:space="preserve"> in program areas, and the capabilities are highly dependent on a diverse set of administrative skills.</w:t>
            </w:r>
          </w:p>
        </w:tc>
        <w:tc>
          <w:tcPr>
            <w:tcW w:w="3420" w:type="dxa"/>
          </w:tcPr>
          <w:p w:rsidR="00B623D2" w:rsidRPr="00B623D2" w:rsidRDefault="00B623D2" w:rsidP="00B623D2">
            <w:pPr>
              <w:spacing w:before="40" w:after="40" w:line="259" w:lineRule="auto"/>
              <w:ind w:left="162"/>
              <w:rPr>
                <w:rFonts w:cstheme="minorHAnsi"/>
              </w:rPr>
            </w:pPr>
          </w:p>
        </w:tc>
        <w:tc>
          <w:tcPr>
            <w:tcW w:w="1296" w:type="dxa"/>
          </w:tcPr>
          <w:p w:rsidR="00B623D2" w:rsidRPr="00A8616F" w:rsidRDefault="00B623D2" w:rsidP="00B623D2">
            <w:pPr>
              <w:spacing w:before="40" w:after="40" w:line="259" w:lineRule="auto"/>
              <w:rPr>
                <w:rFonts w:cstheme="minorHAnsi"/>
              </w:rPr>
            </w:pPr>
          </w:p>
        </w:tc>
      </w:tr>
    </w:tbl>
    <w:p w:rsidR="006F635E" w:rsidRDefault="006F635E" w:rsidP="00CD5015">
      <w:pPr>
        <w:spacing w:after="0"/>
      </w:pPr>
    </w:p>
    <w:p w:rsidR="00B623D2" w:rsidRDefault="00B623D2" w:rsidP="00A8616F">
      <w:pPr>
        <w:spacing w:after="0"/>
      </w:pPr>
    </w:p>
    <w:p w:rsidR="00CD5015" w:rsidRDefault="00CD5015" w:rsidP="00CD5015">
      <w:pPr>
        <w:spacing w:after="0"/>
      </w:pPr>
    </w:p>
    <w:sectPr w:rsidR="00CD5015" w:rsidSect="00B623D2">
      <w:headerReference w:type="default" r:id="rId9"/>
      <w:headerReference w:type="first" r:id="rId10"/>
      <w:pgSz w:w="12240" w:h="15840" w:code="1"/>
      <w:pgMar w:top="1440" w:right="1152" w:bottom="965"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880" w:rsidRDefault="00383880" w:rsidP="00BC46AB">
      <w:pPr>
        <w:spacing w:after="0" w:line="240" w:lineRule="auto"/>
      </w:pPr>
      <w:r>
        <w:separator/>
      </w:r>
    </w:p>
  </w:endnote>
  <w:endnote w:type="continuationSeparator" w:id="0">
    <w:p w:rsidR="00383880" w:rsidRDefault="00383880" w:rsidP="00BC4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880" w:rsidRDefault="00383880" w:rsidP="00BC46AB">
      <w:pPr>
        <w:spacing w:after="0" w:line="240" w:lineRule="auto"/>
      </w:pPr>
      <w:r>
        <w:separator/>
      </w:r>
    </w:p>
  </w:footnote>
  <w:footnote w:type="continuationSeparator" w:id="0">
    <w:p w:rsidR="00383880" w:rsidRDefault="00383880" w:rsidP="00BC4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6AB" w:rsidRDefault="00BC46AB" w:rsidP="00913D2D">
    <w:pPr>
      <w:tabs>
        <w:tab w:val="right" w:pos="9990"/>
        <w:tab w:val="right" w:pos="12690"/>
      </w:tabs>
      <w:spacing w:after="0"/>
      <w:ind w:right="18"/>
      <w:rPr>
        <w:noProof/>
        <w:sz w:val="20"/>
        <w:szCs w:val="20"/>
      </w:rPr>
    </w:pPr>
    <w:r w:rsidRPr="00BC46AB">
      <w:rPr>
        <w:sz w:val="20"/>
        <w:szCs w:val="20"/>
      </w:rPr>
      <w:t xml:space="preserve">Understanding Missouri’s </w:t>
    </w:r>
    <w:r w:rsidR="00FA023D">
      <w:rPr>
        <w:sz w:val="20"/>
        <w:szCs w:val="20"/>
      </w:rPr>
      <w:t>Foundational Public Health Services Model</w:t>
    </w:r>
    <w:r w:rsidR="00C75718">
      <w:rPr>
        <w:sz w:val="20"/>
        <w:szCs w:val="20"/>
      </w:rPr>
      <w:t>:  Essay Assignment and Grading Rubric</w:t>
    </w:r>
    <w:r w:rsidR="00913D2D">
      <w:rPr>
        <w:sz w:val="20"/>
        <w:szCs w:val="20"/>
      </w:rPr>
      <w:tab/>
    </w:r>
    <w:r>
      <w:rPr>
        <w:sz w:val="20"/>
        <w:szCs w:val="20"/>
      </w:rPr>
      <w:t xml:space="preserve">page </w:t>
    </w:r>
    <w:r w:rsidRPr="00BC46AB">
      <w:rPr>
        <w:sz w:val="20"/>
        <w:szCs w:val="20"/>
      </w:rPr>
      <w:fldChar w:fldCharType="begin"/>
    </w:r>
    <w:r w:rsidRPr="00BC46AB">
      <w:rPr>
        <w:sz w:val="20"/>
        <w:szCs w:val="20"/>
      </w:rPr>
      <w:instrText xml:space="preserve"> PAGE   \* MERGEFORMAT </w:instrText>
    </w:r>
    <w:r w:rsidRPr="00BC46AB">
      <w:rPr>
        <w:sz w:val="20"/>
        <w:szCs w:val="20"/>
      </w:rPr>
      <w:fldChar w:fldCharType="separate"/>
    </w:r>
    <w:r w:rsidR="00962408">
      <w:rPr>
        <w:noProof/>
        <w:sz w:val="20"/>
        <w:szCs w:val="20"/>
      </w:rPr>
      <w:t>2</w:t>
    </w:r>
    <w:r w:rsidRPr="00BC46AB">
      <w:rPr>
        <w:noProof/>
        <w:sz w:val="20"/>
        <w:szCs w:val="20"/>
      </w:rPr>
      <w:fldChar w:fldCharType="end"/>
    </w:r>
  </w:p>
  <w:p w:rsidR="00B623D2" w:rsidRDefault="00B623D2" w:rsidP="00913D2D">
    <w:pPr>
      <w:tabs>
        <w:tab w:val="right" w:pos="9990"/>
        <w:tab w:val="right" w:pos="12690"/>
      </w:tabs>
      <w:spacing w:after="0"/>
      <w:ind w:right="18"/>
      <w:rPr>
        <w:noProof/>
        <w:sz w:val="20"/>
        <w:szCs w:val="20"/>
      </w:rPr>
    </w:pPr>
  </w:p>
  <w:p w:rsidR="00BC46AB" w:rsidRPr="00BC46AB" w:rsidRDefault="00BC46AB" w:rsidP="00913D2D">
    <w:pPr>
      <w:tabs>
        <w:tab w:val="right" w:pos="9990"/>
        <w:tab w:val="right" w:pos="12690"/>
      </w:tabs>
      <w:spacing w:after="0"/>
      <w:ind w:right="18"/>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18" w:rsidRDefault="00C75718" w:rsidP="00C75718">
    <w:pPr>
      <w:spacing w:after="0"/>
      <w:jc w:val="center"/>
      <w:rPr>
        <w:b/>
        <w:sz w:val="26"/>
        <w:szCs w:val="26"/>
      </w:rPr>
    </w:pPr>
  </w:p>
  <w:p w:rsidR="00BA7832" w:rsidRPr="00B623D2" w:rsidRDefault="00C75718" w:rsidP="00B623D2">
    <w:pPr>
      <w:spacing w:after="0"/>
      <w:jc w:val="center"/>
      <w:rPr>
        <w:b/>
        <w:sz w:val="26"/>
        <w:szCs w:val="26"/>
      </w:rPr>
    </w:pPr>
    <w:r w:rsidRPr="00BF2AFC">
      <w:rPr>
        <w:b/>
        <w:sz w:val="26"/>
        <w:szCs w:val="26"/>
      </w:rPr>
      <w:t xml:space="preserve">Understanding </w:t>
    </w:r>
    <w:r>
      <w:rPr>
        <w:b/>
        <w:sz w:val="26"/>
        <w:szCs w:val="26"/>
      </w:rPr>
      <w:t>Missouri’s Foundational Public Health Services Model</w:t>
    </w:r>
  </w:p>
  <w:p w:rsidR="00C75718" w:rsidRPr="00C75718" w:rsidRDefault="00C75718" w:rsidP="00C757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F75"/>
    <w:multiLevelType w:val="hybridMultilevel"/>
    <w:tmpl w:val="73F6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D2B04"/>
    <w:multiLevelType w:val="hybridMultilevel"/>
    <w:tmpl w:val="F774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F68E6"/>
    <w:multiLevelType w:val="hybridMultilevel"/>
    <w:tmpl w:val="F446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30773"/>
    <w:multiLevelType w:val="hybridMultilevel"/>
    <w:tmpl w:val="CCB027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48170E"/>
    <w:multiLevelType w:val="hybridMultilevel"/>
    <w:tmpl w:val="49FE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601C66"/>
    <w:multiLevelType w:val="hybridMultilevel"/>
    <w:tmpl w:val="603A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16294A"/>
    <w:multiLevelType w:val="hybridMultilevel"/>
    <w:tmpl w:val="4A7E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F11B4E"/>
    <w:multiLevelType w:val="hybridMultilevel"/>
    <w:tmpl w:val="748E0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24389"/>
    <w:multiLevelType w:val="hybridMultilevel"/>
    <w:tmpl w:val="305A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5A32B4"/>
    <w:multiLevelType w:val="hybridMultilevel"/>
    <w:tmpl w:val="D57C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9"/>
  </w:num>
  <w:num w:numId="7">
    <w:abstractNumId w:val="0"/>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15"/>
    <w:rsid w:val="00136DD9"/>
    <w:rsid w:val="00137559"/>
    <w:rsid w:val="001730B1"/>
    <w:rsid w:val="001F45C7"/>
    <w:rsid w:val="003500F8"/>
    <w:rsid w:val="0038197B"/>
    <w:rsid w:val="00383880"/>
    <w:rsid w:val="003C0A85"/>
    <w:rsid w:val="003F49C0"/>
    <w:rsid w:val="004A02D0"/>
    <w:rsid w:val="004C3CA7"/>
    <w:rsid w:val="00527285"/>
    <w:rsid w:val="00573A51"/>
    <w:rsid w:val="005E2275"/>
    <w:rsid w:val="00653BE0"/>
    <w:rsid w:val="00696BE4"/>
    <w:rsid w:val="006A1211"/>
    <w:rsid w:val="006A2112"/>
    <w:rsid w:val="006F635E"/>
    <w:rsid w:val="00742B8E"/>
    <w:rsid w:val="008740B3"/>
    <w:rsid w:val="00913D2D"/>
    <w:rsid w:val="00962408"/>
    <w:rsid w:val="00977D50"/>
    <w:rsid w:val="00982165"/>
    <w:rsid w:val="009C515F"/>
    <w:rsid w:val="00A205BA"/>
    <w:rsid w:val="00A8616F"/>
    <w:rsid w:val="00B623D2"/>
    <w:rsid w:val="00BA7832"/>
    <w:rsid w:val="00BC46AB"/>
    <w:rsid w:val="00BF2AFC"/>
    <w:rsid w:val="00C75718"/>
    <w:rsid w:val="00CD5015"/>
    <w:rsid w:val="00D65E39"/>
    <w:rsid w:val="00DC5D3E"/>
    <w:rsid w:val="00EF57B0"/>
    <w:rsid w:val="00FA023D"/>
    <w:rsid w:val="00FE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AFC"/>
    <w:pPr>
      <w:ind w:left="720"/>
      <w:contextualSpacing/>
    </w:pPr>
  </w:style>
  <w:style w:type="character" w:styleId="Hyperlink">
    <w:name w:val="Hyperlink"/>
    <w:basedOn w:val="DefaultParagraphFont"/>
    <w:uiPriority w:val="99"/>
    <w:unhideWhenUsed/>
    <w:rsid w:val="00A205BA"/>
    <w:rPr>
      <w:color w:val="0000FF" w:themeColor="hyperlink"/>
      <w:u w:val="single"/>
    </w:rPr>
  </w:style>
  <w:style w:type="table" w:styleId="TableGrid">
    <w:name w:val="Table Grid"/>
    <w:basedOn w:val="TableNormal"/>
    <w:uiPriority w:val="59"/>
    <w:rsid w:val="006F6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635E"/>
    <w:rPr>
      <w:b/>
      <w:bCs/>
    </w:rPr>
  </w:style>
  <w:style w:type="paragraph" w:styleId="Header">
    <w:name w:val="header"/>
    <w:basedOn w:val="Normal"/>
    <w:link w:val="HeaderChar"/>
    <w:uiPriority w:val="99"/>
    <w:unhideWhenUsed/>
    <w:rsid w:val="00BC4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6AB"/>
  </w:style>
  <w:style w:type="paragraph" w:styleId="Footer">
    <w:name w:val="footer"/>
    <w:basedOn w:val="Normal"/>
    <w:link w:val="FooterChar"/>
    <w:uiPriority w:val="99"/>
    <w:unhideWhenUsed/>
    <w:rsid w:val="00BC4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6AB"/>
  </w:style>
  <w:style w:type="paragraph" w:customStyle="1" w:styleId="Default">
    <w:name w:val="Default"/>
    <w:rsid w:val="00FE473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AFC"/>
    <w:pPr>
      <w:ind w:left="720"/>
      <w:contextualSpacing/>
    </w:pPr>
  </w:style>
  <w:style w:type="character" w:styleId="Hyperlink">
    <w:name w:val="Hyperlink"/>
    <w:basedOn w:val="DefaultParagraphFont"/>
    <w:uiPriority w:val="99"/>
    <w:unhideWhenUsed/>
    <w:rsid w:val="00A205BA"/>
    <w:rPr>
      <w:color w:val="0000FF" w:themeColor="hyperlink"/>
      <w:u w:val="single"/>
    </w:rPr>
  </w:style>
  <w:style w:type="table" w:styleId="TableGrid">
    <w:name w:val="Table Grid"/>
    <w:basedOn w:val="TableNormal"/>
    <w:uiPriority w:val="59"/>
    <w:rsid w:val="006F6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635E"/>
    <w:rPr>
      <w:b/>
      <w:bCs/>
    </w:rPr>
  </w:style>
  <w:style w:type="paragraph" w:styleId="Header">
    <w:name w:val="header"/>
    <w:basedOn w:val="Normal"/>
    <w:link w:val="HeaderChar"/>
    <w:uiPriority w:val="99"/>
    <w:unhideWhenUsed/>
    <w:rsid w:val="00BC4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6AB"/>
  </w:style>
  <w:style w:type="paragraph" w:styleId="Footer">
    <w:name w:val="footer"/>
    <w:basedOn w:val="Normal"/>
    <w:link w:val="FooterChar"/>
    <w:uiPriority w:val="99"/>
    <w:unhideWhenUsed/>
    <w:rsid w:val="00BC4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6AB"/>
  </w:style>
  <w:style w:type="paragraph" w:customStyle="1" w:styleId="Default">
    <w:name w:val="Default"/>
    <w:rsid w:val="00FE473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ierMO.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 McReynolds</dc:creator>
  <cp:lastModifiedBy>J M</cp:lastModifiedBy>
  <cp:revision>6</cp:revision>
  <cp:lastPrinted>2021-05-07T18:55:00Z</cp:lastPrinted>
  <dcterms:created xsi:type="dcterms:W3CDTF">2021-05-07T18:49:00Z</dcterms:created>
  <dcterms:modified xsi:type="dcterms:W3CDTF">2021-05-07T18:56:00Z</dcterms:modified>
</cp:coreProperties>
</file>